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A0" w:rsidRDefault="00874FA0" w:rsidP="00874FA0">
      <w:pPr>
        <w:jc w:val="center"/>
        <w:rPr>
          <w:bCs/>
        </w:rPr>
      </w:pPr>
      <w:r w:rsidRPr="00874FA0">
        <w:rPr>
          <w:bCs/>
        </w:rPr>
        <w:t>Nov 15</w:t>
      </w:r>
      <w:r w:rsidRPr="00874FA0">
        <w:rPr>
          <w:bCs/>
          <w:vertAlign w:val="superscript"/>
        </w:rPr>
        <w:t>th</w:t>
      </w:r>
      <w:r w:rsidRPr="00874FA0">
        <w:rPr>
          <w:bCs/>
        </w:rPr>
        <w:t xml:space="preserve"> at 14:00</w:t>
      </w:r>
    </w:p>
    <w:p w:rsidR="00874FA0" w:rsidRPr="00874FA0" w:rsidRDefault="00874FA0" w:rsidP="00874FA0">
      <w:pPr>
        <w:jc w:val="center"/>
        <w:rPr>
          <w:bCs/>
        </w:rPr>
      </w:pPr>
      <w:r w:rsidRPr="00874FA0">
        <w:rPr>
          <w:bCs/>
        </w:rPr>
        <w:t xml:space="preserve"> Venue: </w:t>
      </w:r>
      <w:proofErr w:type="spellStart"/>
      <w:r w:rsidRPr="00874FA0">
        <w:rPr>
          <w:bCs/>
        </w:rPr>
        <w:t>MoH</w:t>
      </w:r>
      <w:proofErr w:type="spellEnd"/>
    </w:p>
    <w:p w:rsidR="00874FA0" w:rsidRDefault="00874FA0" w:rsidP="00874FA0">
      <w:pPr>
        <w:jc w:val="center"/>
        <w:rPr>
          <w:bCs/>
        </w:rPr>
      </w:pPr>
      <w:r w:rsidRPr="00874FA0">
        <w:rPr>
          <w:bCs/>
        </w:rPr>
        <w:t>Meeting of Minister of Labour Health and Soc</w:t>
      </w:r>
      <w:r>
        <w:rPr>
          <w:bCs/>
        </w:rPr>
        <w:t>ial Affairs of Georgia Dr. Davit</w:t>
      </w:r>
      <w:r w:rsidRPr="00874FA0">
        <w:rPr>
          <w:bCs/>
        </w:rPr>
        <w:t xml:space="preserve"> </w:t>
      </w:r>
      <w:proofErr w:type="spellStart"/>
      <w:r w:rsidRPr="00874FA0">
        <w:rPr>
          <w:bCs/>
        </w:rPr>
        <w:t>Sergeenko</w:t>
      </w:r>
      <w:proofErr w:type="spellEnd"/>
      <w:r w:rsidRPr="00874FA0">
        <w:rPr>
          <w:bCs/>
        </w:rPr>
        <w:t xml:space="preserve"> and Deputy Minister of Labour Health and Social Affairs of Georgia Dr. Nino </w:t>
      </w:r>
      <w:proofErr w:type="spellStart"/>
      <w:r w:rsidRPr="00874FA0">
        <w:rPr>
          <w:bCs/>
        </w:rPr>
        <w:t>Berdzuli</w:t>
      </w:r>
      <w:proofErr w:type="spellEnd"/>
      <w:r w:rsidRPr="00874FA0">
        <w:rPr>
          <w:bCs/>
        </w:rPr>
        <w:t xml:space="preserve"> with </w:t>
      </w:r>
      <w:r w:rsidRPr="00A92202">
        <w:rPr>
          <w:rFonts w:asciiTheme="minorHAnsi" w:hAnsiTheme="minorHAnsi"/>
        </w:rPr>
        <w:t>CAPT</w:t>
      </w:r>
      <w:r w:rsidRPr="00874FA0">
        <w:rPr>
          <w:bCs/>
        </w:rPr>
        <w:t>. Nancy Knight</w:t>
      </w:r>
      <w:r>
        <w:rPr>
          <w:bCs/>
        </w:rPr>
        <w:t xml:space="preserve">, US CDC, </w:t>
      </w:r>
      <w:r w:rsidRPr="00874FA0">
        <w:rPr>
          <w:bCs/>
        </w:rPr>
        <w:t xml:space="preserve">Director of Division of Global Health Protection </w:t>
      </w:r>
    </w:p>
    <w:p w:rsidR="00874FA0" w:rsidRDefault="00874FA0" w:rsidP="00874FA0">
      <w:pPr>
        <w:jc w:val="center"/>
        <w:rPr>
          <w:bCs/>
        </w:rPr>
      </w:pPr>
    </w:p>
    <w:p w:rsidR="00874FA0" w:rsidRPr="00874FA0" w:rsidRDefault="00874FA0" w:rsidP="00874FA0">
      <w:pPr>
        <w:jc w:val="center"/>
        <w:rPr>
          <w:bCs/>
        </w:rPr>
      </w:pPr>
      <w:r>
        <w:rPr>
          <w:bCs/>
        </w:rPr>
        <w:t>Talking point</w:t>
      </w:r>
      <w:r w:rsidR="004E0E9A">
        <w:rPr>
          <w:bCs/>
        </w:rPr>
        <w:t>s</w:t>
      </w:r>
      <w:bookmarkStart w:id="0" w:name="_GoBack"/>
      <w:bookmarkEnd w:id="0"/>
      <w:r>
        <w:rPr>
          <w:bCs/>
        </w:rPr>
        <w:t xml:space="preserve"> for the Minister and the Deputy Minister </w:t>
      </w:r>
    </w:p>
    <w:p w:rsidR="00874FA0" w:rsidRDefault="00874FA0" w:rsidP="00874FA0">
      <w:pPr>
        <w:rPr>
          <w:b/>
          <w:bCs/>
          <w:u w:val="single"/>
        </w:rPr>
      </w:pPr>
    </w:p>
    <w:p w:rsidR="00874FA0" w:rsidRDefault="00874FA0" w:rsidP="00874FA0">
      <w:pPr>
        <w:rPr>
          <w:b/>
          <w:bCs/>
          <w:u w:val="single"/>
        </w:rPr>
      </w:pPr>
      <w:r>
        <w:rPr>
          <w:b/>
          <w:bCs/>
          <w:u w:val="single"/>
        </w:rPr>
        <w:t xml:space="preserve">Value of CDC Country Office to </w:t>
      </w:r>
      <w:proofErr w:type="spellStart"/>
      <w:r>
        <w:rPr>
          <w:b/>
          <w:bCs/>
          <w:u w:val="single"/>
        </w:rPr>
        <w:t>MoH</w:t>
      </w:r>
      <w:proofErr w:type="spellEnd"/>
      <w:r>
        <w:rPr>
          <w:b/>
          <w:bCs/>
          <w:u w:val="single"/>
        </w:rPr>
        <w:t xml:space="preserve">:  </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 is a valued partner to the </w:t>
      </w:r>
      <w:proofErr w:type="spellStart"/>
      <w:r>
        <w:t>MoH</w:t>
      </w:r>
      <w:proofErr w:type="spellEnd"/>
      <w:r>
        <w:t xml:space="preserve"> and the only USG partner working with </w:t>
      </w:r>
      <w:proofErr w:type="spellStart"/>
      <w:r>
        <w:t>MoH</w:t>
      </w:r>
      <w:proofErr w:type="spellEnd"/>
      <w:r>
        <w:t xml:space="preserve"> on health priorities. </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CDC’s presence and partnership with </w:t>
      </w:r>
      <w:proofErr w:type="spellStart"/>
      <w:r>
        <w:t>MoH</w:t>
      </w:r>
      <w:proofErr w:type="spellEnd"/>
      <w:r>
        <w:t xml:space="preserve"> has been important in attracting other partners and donors whose resources are leveraged to accelerate progress towards Georgia’s health goals, </w:t>
      </w:r>
      <w:proofErr w:type="spellStart"/>
      <w:r>
        <w:t>eg</w:t>
      </w:r>
      <w:proofErr w:type="spellEnd"/>
      <w:r>
        <w:t>, Gilead, Abbott, FIND, LIFER, American Society for Microbiology, Becton Dickinson.</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CDC’s Georgia office is critical to facilitating connections and collaborations between </w:t>
      </w:r>
      <w:proofErr w:type="spellStart"/>
      <w:r>
        <w:t>MoH</w:t>
      </w:r>
      <w:proofErr w:type="spellEnd"/>
      <w:r>
        <w:t xml:space="preserve"> and CDC Headquarter programs and Subject Matter Experts.</w:t>
      </w:r>
    </w:p>
    <w:p w:rsidR="00874FA0" w:rsidRDefault="00874FA0" w:rsidP="00874FA0"/>
    <w:p w:rsidR="00874FA0" w:rsidRDefault="00874FA0" w:rsidP="00874FA0">
      <w:pPr>
        <w:rPr>
          <w:b/>
          <w:bCs/>
          <w:u w:val="single"/>
        </w:rPr>
      </w:pPr>
      <w:r>
        <w:rPr>
          <w:b/>
          <w:bCs/>
          <w:u w:val="single"/>
        </w:rPr>
        <w:t>GHSA:</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proofErr w:type="spellStart"/>
      <w:r>
        <w:t>MoH</w:t>
      </w:r>
      <w:proofErr w:type="spellEnd"/>
      <w:r>
        <w:t xml:space="preserve"> committed to meeting GHSA targets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Georgia is a lead country in Real Time </w:t>
      </w:r>
      <w:proofErr w:type="spellStart"/>
      <w:r>
        <w:t>Biosurveillance</w:t>
      </w:r>
      <w:proofErr w:type="spellEnd"/>
      <w:r>
        <w:t xml:space="preserve"> Action Package and is hosting a GHSA </w:t>
      </w:r>
      <w:proofErr w:type="spellStart"/>
      <w:r>
        <w:t>Biosurveillance</w:t>
      </w:r>
      <w:proofErr w:type="spellEnd"/>
      <w:r>
        <w:t xml:space="preserve"> Meeting, including lead and contributing countries in February 2018.  CDC is providing technical assistance to NCDC to plan and execute the meeting.  </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Georgia uses unified electronic disease surveillance systems, EIDSS, which facilitates real time reporting of disease of public health importance from both the human and animal sectors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Georgia participated in the first pilot of the GHSA Assessment tool (Jan 2015) and is open to participating in a follow-up assessment using the Joint External Evaluation (JEE) tool and method, developed with </w:t>
      </w:r>
      <w:proofErr w:type="gramStart"/>
      <w:r>
        <w:t>WHO</w:t>
      </w:r>
      <w:proofErr w:type="gramEnd"/>
      <w:r>
        <w:t>.  This external evaluation assesses requirements for both GHSA and IHR.</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 is the lead </w:t>
      </w:r>
      <w:proofErr w:type="spellStart"/>
      <w:r>
        <w:t>MoH</w:t>
      </w:r>
      <w:proofErr w:type="spellEnd"/>
      <w:r>
        <w:t xml:space="preserve"> partner is developing public health workforce through the Field Epidemiology and Laboratory Training Program, which has been implemented annually since 2009.  A number of graduates fill important positions within the </w:t>
      </w:r>
      <w:proofErr w:type="spellStart"/>
      <w:r>
        <w:t>MoH</w:t>
      </w:r>
      <w:proofErr w:type="spellEnd"/>
      <w:r>
        <w:t xml:space="preserve"> (NCDC specifically).  This is the only program in country training Georgians on the modern/Western approach to epidemiology and disease surveillance.</w:t>
      </w:r>
    </w:p>
    <w:p w:rsidR="00874FA0" w:rsidRDefault="00874FA0" w:rsidP="00874FA0"/>
    <w:p w:rsidR="00874FA0" w:rsidRDefault="00874FA0" w:rsidP="00874FA0">
      <w:pPr>
        <w:rPr>
          <w:b/>
          <w:bCs/>
          <w:u w:val="single"/>
        </w:rPr>
      </w:pPr>
      <w:r>
        <w:rPr>
          <w:b/>
          <w:bCs/>
          <w:u w:val="single"/>
        </w:rPr>
        <w:t>AMR:</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Detection and control of AMR is a key priority for </w:t>
      </w:r>
      <w:proofErr w:type="spellStart"/>
      <w:r>
        <w:t>MoH</w:t>
      </w:r>
      <w:proofErr w:type="spellEnd"/>
      <w:r>
        <w:t>.</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National Action Plan to Combat AMR approved in 2015 – Action Plan is broad and includes human, vet, food sectors.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proofErr w:type="gramStart"/>
      <w:r>
        <w:t>New</w:t>
      </w:r>
      <w:proofErr w:type="gramEnd"/>
      <w:r>
        <w:t xml:space="preserve"> policies regarding antibiotic sale by prescription only recently implemented</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Lugar Center’s progress towards International Accreditation and their role as an AMR reference lab</w:t>
      </w:r>
    </w:p>
    <w:p w:rsidR="00874FA0" w:rsidRDefault="00874FA0" w:rsidP="00874FA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r>
        <w:t>CDC’s technical assistance to strengthen bacteriology at LC and assist LC to establish a National EQA Program for AMR</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Infection Prevention and Control </w:t>
      </w:r>
    </w:p>
    <w:p w:rsidR="00874FA0" w:rsidRDefault="00874FA0" w:rsidP="00874FA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r>
        <w:t>CDC’s technical assistance to revise National IPC Guidelines and establish Monitoring and Evaluation indicators for IPC implementation</w:t>
      </w:r>
    </w:p>
    <w:p w:rsidR="00874FA0" w:rsidRDefault="00874FA0" w:rsidP="00874FA0"/>
    <w:p w:rsidR="00874FA0" w:rsidRDefault="00874FA0" w:rsidP="00874FA0">
      <w:pPr>
        <w:rPr>
          <w:b/>
          <w:bCs/>
          <w:u w:val="single"/>
        </w:rPr>
      </w:pPr>
      <w:r>
        <w:rPr>
          <w:b/>
          <w:bCs/>
          <w:u w:val="single"/>
        </w:rPr>
        <w:t>Hepatitis C</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First country to take a public health approach to elimination of Hepatitis C</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proofErr w:type="spellStart"/>
      <w:r>
        <w:t>MoH</w:t>
      </w:r>
      <w:proofErr w:type="spellEnd"/>
      <w:r>
        <w:t xml:space="preserve"> works closely with CDC local office and CDC HQ to implement the Elimination Plan </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 (Division of Global Health Protection) supported financially and technically the </w:t>
      </w:r>
      <w:proofErr w:type="spellStart"/>
      <w:r>
        <w:t>Hep</w:t>
      </w:r>
      <w:proofErr w:type="spellEnd"/>
      <w:r>
        <w:t xml:space="preserve"> C </w:t>
      </w:r>
      <w:proofErr w:type="spellStart"/>
      <w:r>
        <w:t>serosurvey</w:t>
      </w:r>
      <w:proofErr w:type="spellEnd"/>
      <w:r>
        <w:t xml:space="preserve"> which provided the data on which the Strategic Plan for </w:t>
      </w:r>
      <w:proofErr w:type="spellStart"/>
      <w:r>
        <w:t>Hep</w:t>
      </w:r>
      <w:proofErr w:type="spellEnd"/>
      <w:r>
        <w:t xml:space="preserve"> C Elimination is based</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CDC is supporting other important health systems improvements including laboratory diagnostic quality, disease surveillance, blood safety, Infection Prevention and Control, primary health care physician </w:t>
      </w:r>
      <w:r>
        <w:lastRenderedPageBreak/>
        <w:t>capacity development through ECHO, strategies to reach vulnerable populations with health interventions</w:t>
      </w:r>
    </w:p>
    <w:p w:rsidR="00874FA0" w:rsidRDefault="00874FA0" w:rsidP="00874FA0"/>
    <w:p w:rsidR="00874FA0" w:rsidRDefault="00874FA0" w:rsidP="00874FA0">
      <w:pPr>
        <w:rPr>
          <w:b/>
          <w:bCs/>
          <w:u w:val="single"/>
        </w:rPr>
      </w:pPr>
      <w:r>
        <w:rPr>
          <w:b/>
          <w:bCs/>
          <w:u w:val="single"/>
        </w:rPr>
        <w:t>Outbreak Response</w:t>
      </w:r>
    </w:p>
    <w:p w:rsidR="00874FA0" w:rsidRDefault="00874FA0" w:rsidP="00874FA0">
      <w:proofErr w:type="gramStart"/>
      <w:r>
        <w:t>Led by the Georgian NCDC.</w:t>
      </w:r>
      <w:proofErr w:type="gramEnd"/>
      <w:r>
        <w:t>  CDC has been a long-standing and valuable partner to NCDC, strengthening capacity for timely and effective response to disease outbreaks.  The Lugar Center laboratory is an important asset to Public Health System.  CDC’s support has improved laboratory diagnostic capacity, especially for diseases of public health importance:</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 xml:space="preserve">Novel </w:t>
      </w:r>
      <w:proofErr w:type="spellStart"/>
      <w:r>
        <w:t>orthopox</w:t>
      </w:r>
      <w:proofErr w:type="spellEnd"/>
      <w:r>
        <w:t xml:space="preserve"> virus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proofErr w:type="spellStart"/>
      <w:r>
        <w:t>Zika</w:t>
      </w:r>
      <w:proofErr w:type="spellEnd"/>
      <w:r>
        <w:t>, chikungunya, dengue viruses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Bacterial pathogens causing meningitis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Influenza and non-flu respiratory viruses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Anthrax</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Brucella</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Leptospirosis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Measles molecular typing</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r>
        <w:t>Hepatitis C molecular typing – to identify transmission networks</w:t>
      </w:r>
    </w:p>
    <w:p w:rsidR="00874FA0" w:rsidRDefault="00874FA0" w:rsidP="00874FA0">
      <w:pPr>
        <w:pStyle w:val="ListParagraph"/>
        <w:ind w:hanging="360"/>
      </w:pPr>
      <w:r>
        <w:rPr>
          <w:rFonts w:ascii="Symbol" w:hAnsi="Symbol"/>
        </w:rPr>
        <w:t></w:t>
      </w:r>
      <w:r>
        <w:rPr>
          <w:rFonts w:ascii="Times New Roman" w:hAnsi="Times New Roman"/>
          <w:sz w:val="14"/>
          <w:szCs w:val="14"/>
        </w:rPr>
        <w:t xml:space="preserve">        </w:t>
      </w:r>
      <w:proofErr w:type="gramStart"/>
      <w:r>
        <w:t>Enteric</w:t>
      </w:r>
      <w:proofErr w:type="gramEnd"/>
      <w:r>
        <w:t xml:space="preserve"> pathogen molecular typing to support outbreak investigations</w:t>
      </w:r>
    </w:p>
    <w:p w:rsidR="00874FA0" w:rsidRDefault="00874FA0" w:rsidP="00874FA0"/>
    <w:p w:rsidR="00874FA0" w:rsidRDefault="00874FA0" w:rsidP="00874FA0"/>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A0"/>
    <w:rsid w:val="00000DD6"/>
    <w:rsid w:val="00007097"/>
    <w:rsid w:val="000126CD"/>
    <w:rsid w:val="00016098"/>
    <w:rsid w:val="000213CD"/>
    <w:rsid w:val="000235A4"/>
    <w:rsid w:val="00033BD4"/>
    <w:rsid w:val="00033F9D"/>
    <w:rsid w:val="00073810"/>
    <w:rsid w:val="00077D10"/>
    <w:rsid w:val="00081D4A"/>
    <w:rsid w:val="00096430"/>
    <w:rsid w:val="00096ADF"/>
    <w:rsid w:val="000A332A"/>
    <w:rsid w:val="000A551C"/>
    <w:rsid w:val="000B25C8"/>
    <w:rsid w:val="000B48EA"/>
    <w:rsid w:val="000E30E4"/>
    <w:rsid w:val="000E4A29"/>
    <w:rsid w:val="00100689"/>
    <w:rsid w:val="00102216"/>
    <w:rsid w:val="00106BD2"/>
    <w:rsid w:val="001126A4"/>
    <w:rsid w:val="001145A9"/>
    <w:rsid w:val="001154FE"/>
    <w:rsid w:val="00117053"/>
    <w:rsid w:val="00127135"/>
    <w:rsid w:val="00131628"/>
    <w:rsid w:val="001346B5"/>
    <w:rsid w:val="00137AD8"/>
    <w:rsid w:val="00141EE4"/>
    <w:rsid w:val="00145F2A"/>
    <w:rsid w:val="001460E7"/>
    <w:rsid w:val="001474CF"/>
    <w:rsid w:val="0014758C"/>
    <w:rsid w:val="00150ACA"/>
    <w:rsid w:val="00157385"/>
    <w:rsid w:val="00161509"/>
    <w:rsid w:val="00171AD9"/>
    <w:rsid w:val="0018385E"/>
    <w:rsid w:val="00190EDB"/>
    <w:rsid w:val="00191478"/>
    <w:rsid w:val="00193F70"/>
    <w:rsid w:val="001A56AC"/>
    <w:rsid w:val="001A73D0"/>
    <w:rsid w:val="001B59DE"/>
    <w:rsid w:val="001C6E72"/>
    <w:rsid w:val="001C7A91"/>
    <w:rsid w:val="001D666E"/>
    <w:rsid w:val="001E4126"/>
    <w:rsid w:val="001E550A"/>
    <w:rsid w:val="001F1B63"/>
    <w:rsid w:val="002059AA"/>
    <w:rsid w:val="00214893"/>
    <w:rsid w:val="00215A9F"/>
    <w:rsid w:val="002206ED"/>
    <w:rsid w:val="002251BB"/>
    <w:rsid w:val="00225DFB"/>
    <w:rsid w:val="00236F5C"/>
    <w:rsid w:val="00246E29"/>
    <w:rsid w:val="00263BB0"/>
    <w:rsid w:val="002644E5"/>
    <w:rsid w:val="002709F1"/>
    <w:rsid w:val="002711AF"/>
    <w:rsid w:val="00286455"/>
    <w:rsid w:val="00286585"/>
    <w:rsid w:val="00294402"/>
    <w:rsid w:val="002977CC"/>
    <w:rsid w:val="002A0274"/>
    <w:rsid w:val="002A1E6C"/>
    <w:rsid w:val="002A216C"/>
    <w:rsid w:val="002A5F22"/>
    <w:rsid w:val="002B44E9"/>
    <w:rsid w:val="002B5F0A"/>
    <w:rsid w:val="002D05E5"/>
    <w:rsid w:val="002E00B2"/>
    <w:rsid w:val="002E2AA1"/>
    <w:rsid w:val="002E37FB"/>
    <w:rsid w:val="002F1D3B"/>
    <w:rsid w:val="002F5D16"/>
    <w:rsid w:val="002F7B0E"/>
    <w:rsid w:val="00303B47"/>
    <w:rsid w:val="00316199"/>
    <w:rsid w:val="003218AF"/>
    <w:rsid w:val="0033591B"/>
    <w:rsid w:val="00337B69"/>
    <w:rsid w:val="00345731"/>
    <w:rsid w:val="0037295D"/>
    <w:rsid w:val="00373025"/>
    <w:rsid w:val="00373064"/>
    <w:rsid w:val="003863D0"/>
    <w:rsid w:val="00386F77"/>
    <w:rsid w:val="003900C7"/>
    <w:rsid w:val="003917FE"/>
    <w:rsid w:val="00391A39"/>
    <w:rsid w:val="003923B5"/>
    <w:rsid w:val="003A1E1F"/>
    <w:rsid w:val="003C2056"/>
    <w:rsid w:val="003C29E4"/>
    <w:rsid w:val="003C4853"/>
    <w:rsid w:val="003C61BA"/>
    <w:rsid w:val="003D01A4"/>
    <w:rsid w:val="003D0CF8"/>
    <w:rsid w:val="003D2EEB"/>
    <w:rsid w:val="003D45C6"/>
    <w:rsid w:val="003D69D7"/>
    <w:rsid w:val="003E2975"/>
    <w:rsid w:val="003E68ED"/>
    <w:rsid w:val="003E7FA1"/>
    <w:rsid w:val="003F1FCC"/>
    <w:rsid w:val="003F5DBA"/>
    <w:rsid w:val="003F619E"/>
    <w:rsid w:val="004005A9"/>
    <w:rsid w:val="00401E39"/>
    <w:rsid w:val="004113E0"/>
    <w:rsid w:val="00413E94"/>
    <w:rsid w:val="00414617"/>
    <w:rsid w:val="0041498F"/>
    <w:rsid w:val="00414E34"/>
    <w:rsid w:val="00416991"/>
    <w:rsid w:val="00423964"/>
    <w:rsid w:val="00424E33"/>
    <w:rsid w:val="00437282"/>
    <w:rsid w:val="004407F5"/>
    <w:rsid w:val="00443A52"/>
    <w:rsid w:val="004658E0"/>
    <w:rsid w:val="0047145D"/>
    <w:rsid w:val="00472FDD"/>
    <w:rsid w:val="004803CD"/>
    <w:rsid w:val="00490FEF"/>
    <w:rsid w:val="004A5692"/>
    <w:rsid w:val="004B7DB0"/>
    <w:rsid w:val="004C1902"/>
    <w:rsid w:val="004D1361"/>
    <w:rsid w:val="004E0E9A"/>
    <w:rsid w:val="004E18E5"/>
    <w:rsid w:val="004E29F9"/>
    <w:rsid w:val="004E438E"/>
    <w:rsid w:val="004E69E7"/>
    <w:rsid w:val="004F1362"/>
    <w:rsid w:val="005002A5"/>
    <w:rsid w:val="0050049E"/>
    <w:rsid w:val="00502C43"/>
    <w:rsid w:val="005123AA"/>
    <w:rsid w:val="00521CD9"/>
    <w:rsid w:val="0052333A"/>
    <w:rsid w:val="005258AE"/>
    <w:rsid w:val="005272EE"/>
    <w:rsid w:val="0053198C"/>
    <w:rsid w:val="00533AC0"/>
    <w:rsid w:val="00534F78"/>
    <w:rsid w:val="00537D9E"/>
    <w:rsid w:val="005417D3"/>
    <w:rsid w:val="00552DA1"/>
    <w:rsid w:val="005709E7"/>
    <w:rsid w:val="005747F8"/>
    <w:rsid w:val="00575926"/>
    <w:rsid w:val="00592D55"/>
    <w:rsid w:val="0059398C"/>
    <w:rsid w:val="00594394"/>
    <w:rsid w:val="005972E1"/>
    <w:rsid w:val="005A51B1"/>
    <w:rsid w:val="005A56CB"/>
    <w:rsid w:val="005A5AD2"/>
    <w:rsid w:val="005B1D89"/>
    <w:rsid w:val="005B6E14"/>
    <w:rsid w:val="005B7132"/>
    <w:rsid w:val="005C008B"/>
    <w:rsid w:val="005C06EF"/>
    <w:rsid w:val="005C48FC"/>
    <w:rsid w:val="005C6EF1"/>
    <w:rsid w:val="005D553A"/>
    <w:rsid w:val="005E7FE5"/>
    <w:rsid w:val="005F3788"/>
    <w:rsid w:val="005F51C1"/>
    <w:rsid w:val="00603E3E"/>
    <w:rsid w:val="00604000"/>
    <w:rsid w:val="00604F7E"/>
    <w:rsid w:val="006140D8"/>
    <w:rsid w:val="00617156"/>
    <w:rsid w:val="006224AC"/>
    <w:rsid w:val="00627A24"/>
    <w:rsid w:val="006307C8"/>
    <w:rsid w:val="00630B5D"/>
    <w:rsid w:val="006311E9"/>
    <w:rsid w:val="0063137C"/>
    <w:rsid w:val="00642631"/>
    <w:rsid w:val="006537BB"/>
    <w:rsid w:val="00657425"/>
    <w:rsid w:val="00664593"/>
    <w:rsid w:val="00667CBF"/>
    <w:rsid w:val="00673013"/>
    <w:rsid w:val="00677D49"/>
    <w:rsid w:val="00684E04"/>
    <w:rsid w:val="006875B1"/>
    <w:rsid w:val="00690E8F"/>
    <w:rsid w:val="0069134D"/>
    <w:rsid w:val="006928C6"/>
    <w:rsid w:val="00692C22"/>
    <w:rsid w:val="00697D7E"/>
    <w:rsid w:val="006A2E20"/>
    <w:rsid w:val="006A47D0"/>
    <w:rsid w:val="006A743C"/>
    <w:rsid w:val="006B5720"/>
    <w:rsid w:val="006C33E0"/>
    <w:rsid w:val="006D50E0"/>
    <w:rsid w:val="006E5EC0"/>
    <w:rsid w:val="006F6B1F"/>
    <w:rsid w:val="007009E2"/>
    <w:rsid w:val="0070286C"/>
    <w:rsid w:val="00714E9C"/>
    <w:rsid w:val="00725194"/>
    <w:rsid w:val="007268A8"/>
    <w:rsid w:val="00741CF1"/>
    <w:rsid w:val="00745767"/>
    <w:rsid w:val="00745915"/>
    <w:rsid w:val="00746086"/>
    <w:rsid w:val="007671EA"/>
    <w:rsid w:val="00767A15"/>
    <w:rsid w:val="00775241"/>
    <w:rsid w:val="00775802"/>
    <w:rsid w:val="00775FDD"/>
    <w:rsid w:val="00780A8A"/>
    <w:rsid w:val="0078192F"/>
    <w:rsid w:val="007873D5"/>
    <w:rsid w:val="00791028"/>
    <w:rsid w:val="0079150C"/>
    <w:rsid w:val="00792558"/>
    <w:rsid w:val="00792959"/>
    <w:rsid w:val="00792AE9"/>
    <w:rsid w:val="007937C7"/>
    <w:rsid w:val="00794C46"/>
    <w:rsid w:val="00797F36"/>
    <w:rsid w:val="007A294A"/>
    <w:rsid w:val="007A55AE"/>
    <w:rsid w:val="007A5F62"/>
    <w:rsid w:val="007B6FAC"/>
    <w:rsid w:val="007C2F6B"/>
    <w:rsid w:val="007C7D87"/>
    <w:rsid w:val="007E47AB"/>
    <w:rsid w:val="007E5F4F"/>
    <w:rsid w:val="0083312B"/>
    <w:rsid w:val="00834A9B"/>
    <w:rsid w:val="00843699"/>
    <w:rsid w:val="00845857"/>
    <w:rsid w:val="008521CF"/>
    <w:rsid w:val="0085270E"/>
    <w:rsid w:val="008554A5"/>
    <w:rsid w:val="00856606"/>
    <w:rsid w:val="00856D09"/>
    <w:rsid w:val="00857425"/>
    <w:rsid w:val="008622AA"/>
    <w:rsid w:val="008659DA"/>
    <w:rsid w:val="008661B1"/>
    <w:rsid w:val="00873726"/>
    <w:rsid w:val="00873A26"/>
    <w:rsid w:val="00874FA0"/>
    <w:rsid w:val="00876951"/>
    <w:rsid w:val="008808F4"/>
    <w:rsid w:val="0088184E"/>
    <w:rsid w:val="008824D2"/>
    <w:rsid w:val="00883647"/>
    <w:rsid w:val="008A15B8"/>
    <w:rsid w:val="008B03B7"/>
    <w:rsid w:val="008B24BF"/>
    <w:rsid w:val="008C0A25"/>
    <w:rsid w:val="008C26A5"/>
    <w:rsid w:val="008C2BA0"/>
    <w:rsid w:val="008D515A"/>
    <w:rsid w:val="008D5C31"/>
    <w:rsid w:val="009010D3"/>
    <w:rsid w:val="00903346"/>
    <w:rsid w:val="009033FA"/>
    <w:rsid w:val="00906801"/>
    <w:rsid w:val="00911598"/>
    <w:rsid w:val="00913A5B"/>
    <w:rsid w:val="00927649"/>
    <w:rsid w:val="00927B04"/>
    <w:rsid w:val="0093604D"/>
    <w:rsid w:val="009427EA"/>
    <w:rsid w:val="00945AB4"/>
    <w:rsid w:val="00954670"/>
    <w:rsid w:val="00965C7E"/>
    <w:rsid w:val="00966503"/>
    <w:rsid w:val="009715DE"/>
    <w:rsid w:val="009737A5"/>
    <w:rsid w:val="00976B95"/>
    <w:rsid w:val="00991908"/>
    <w:rsid w:val="00994C9A"/>
    <w:rsid w:val="009A2F30"/>
    <w:rsid w:val="009A47C6"/>
    <w:rsid w:val="009A7F19"/>
    <w:rsid w:val="009B408D"/>
    <w:rsid w:val="009B62B8"/>
    <w:rsid w:val="009C78E8"/>
    <w:rsid w:val="009D2C8A"/>
    <w:rsid w:val="009F121D"/>
    <w:rsid w:val="009F211A"/>
    <w:rsid w:val="009F4797"/>
    <w:rsid w:val="00A00754"/>
    <w:rsid w:val="00A07D68"/>
    <w:rsid w:val="00A24119"/>
    <w:rsid w:val="00A24A49"/>
    <w:rsid w:val="00A26E24"/>
    <w:rsid w:val="00A403AD"/>
    <w:rsid w:val="00A4321B"/>
    <w:rsid w:val="00A466D6"/>
    <w:rsid w:val="00A553A0"/>
    <w:rsid w:val="00A5762E"/>
    <w:rsid w:val="00A62230"/>
    <w:rsid w:val="00A67006"/>
    <w:rsid w:val="00A711B2"/>
    <w:rsid w:val="00A762D1"/>
    <w:rsid w:val="00A8253C"/>
    <w:rsid w:val="00A864FD"/>
    <w:rsid w:val="00A87CC3"/>
    <w:rsid w:val="00A95A01"/>
    <w:rsid w:val="00AE05C2"/>
    <w:rsid w:val="00AF1060"/>
    <w:rsid w:val="00AF10EA"/>
    <w:rsid w:val="00AF3C53"/>
    <w:rsid w:val="00AF7014"/>
    <w:rsid w:val="00B07063"/>
    <w:rsid w:val="00B10013"/>
    <w:rsid w:val="00B37673"/>
    <w:rsid w:val="00B41830"/>
    <w:rsid w:val="00B4281E"/>
    <w:rsid w:val="00B55735"/>
    <w:rsid w:val="00B63B53"/>
    <w:rsid w:val="00B73D37"/>
    <w:rsid w:val="00B75676"/>
    <w:rsid w:val="00B77D5C"/>
    <w:rsid w:val="00B81B52"/>
    <w:rsid w:val="00B84A92"/>
    <w:rsid w:val="00B86AEB"/>
    <w:rsid w:val="00B907F1"/>
    <w:rsid w:val="00B96063"/>
    <w:rsid w:val="00BA4A21"/>
    <w:rsid w:val="00BB17A2"/>
    <w:rsid w:val="00BB1972"/>
    <w:rsid w:val="00BB1D6C"/>
    <w:rsid w:val="00BC270A"/>
    <w:rsid w:val="00BE03DF"/>
    <w:rsid w:val="00BE3111"/>
    <w:rsid w:val="00BE47F2"/>
    <w:rsid w:val="00BE6EB2"/>
    <w:rsid w:val="00BF1AD2"/>
    <w:rsid w:val="00BF2794"/>
    <w:rsid w:val="00BF5F57"/>
    <w:rsid w:val="00C00CCF"/>
    <w:rsid w:val="00C01EC9"/>
    <w:rsid w:val="00C11C38"/>
    <w:rsid w:val="00C17953"/>
    <w:rsid w:val="00C2560B"/>
    <w:rsid w:val="00C26569"/>
    <w:rsid w:val="00C26E62"/>
    <w:rsid w:val="00C360B6"/>
    <w:rsid w:val="00C454DE"/>
    <w:rsid w:val="00C473D9"/>
    <w:rsid w:val="00C51080"/>
    <w:rsid w:val="00C71C85"/>
    <w:rsid w:val="00C800DD"/>
    <w:rsid w:val="00C80F83"/>
    <w:rsid w:val="00C9049F"/>
    <w:rsid w:val="00CA0243"/>
    <w:rsid w:val="00CA519A"/>
    <w:rsid w:val="00CB5FC4"/>
    <w:rsid w:val="00CC408F"/>
    <w:rsid w:val="00CC5F97"/>
    <w:rsid w:val="00CD297C"/>
    <w:rsid w:val="00CD298F"/>
    <w:rsid w:val="00CD5A65"/>
    <w:rsid w:val="00CD77E4"/>
    <w:rsid w:val="00CF1833"/>
    <w:rsid w:val="00CF2AD9"/>
    <w:rsid w:val="00D02A5B"/>
    <w:rsid w:val="00D140A9"/>
    <w:rsid w:val="00D160A9"/>
    <w:rsid w:val="00D16D4C"/>
    <w:rsid w:val="00D364C3"/>
    <w:rsid w:val="00D378FC"/>
    <w:rsid w:val="00D441CC"/>
    <w:rsid w:val="00D50A9A"/>
    <w:rsid w:val="00D5210B"/>
    <w:rsid w:val="00D53F10"/>
    <w:rsid w:val="00D55558"/>
    <w:rsid w:val="00D6177E"/>
    <w:rsid w:val="00D63588"/>
    <w:rsid w:val="00D744F9"/>
    <w:rsid w:val="00D752B8"/>
    <w:rsid w:val="00D901CE"/>
    <w:rsid w:val="00D93DFE"/>
    <w:rsid w:val="00DA252B"/>
    <w:rsid w:val="00DA3674"/>
    <w:rsid w:val="00DB172C"/>
    <w:rsid w:val="00DB6090"/>
    <w:rsid w:val="00DB6B45"/>
    <w:rsid w:val="00DC2539"/>
    <w:rsid w:val="00DC39C5"/>
    <w:rsid w:val="00DC57CC"/>
    <w:rsid w:val="00DD1818"/>
    <w:rsid w:val="00DE15A0"/>
    <w:rsid w:val="00DE51B2"/>
    <w:rsid w:val="00DF20C1"/>
    <w:rsid w:val="00E061CA"/>
    <w:rsid w:val="00E16B58"/>
    <w:rsid w:val="00E20748"/>
    <w:rsid w:val="00E2089E"/>
    <w:rsid w:val="00E2249D"/>
    <w:rsid w:val="00E3421B"/>
    <w:rsid w:val="00E418EC"/>
    <w:rsid w:val="00E52E80"/>
    <w:rsid w:val="00E57F23"/>
    <w:rsid w:val="00E86052"/>
    <w:rsid w:val="00E90FFA"/>
    <w:rsid w:val="00E926E6"/>
    <w:rsid w:val="00EA0E7A"/>
    <w:rsid w:val="00EA7675"/>
    <w:rsid w:val="00EB67AF"/>
    <w:rsid w:val="00EC0AF0"/>
    <w:rsid w:val="00EC1D9F"/>
    <w:rsid w:val="00EC79C7"/>
    <w:rsid w:val="00ED5771"/>
    <w:rsid w:val="00ED5F1F"/>
    <w:rsid w:val="00ED68B1"/>
    <w:rsid w:val="00EE606F"/>
    <w:rsid w:val="00F01CF4"/>
    <w:rsid w:val="00F03F0A"/>
    <w:rsid w:val="00F04D00"/>
    <w:rsid w:val="00F17358"/>
    <w:rsid w:val="00F31194"/>
    <w:rsid w:val="00F33570"/>
    <w:rsid w:val="00F435A3"/>
    <w:rsid w:val="00F50295"/>
    <w:rsid w:val="00F7096D"/>
    <w:rsid w:val="00F729AA"/>
    <w:rsid w:val="00F757ED"/>
    <w:rsid w:val="00F824E9"/>
    <w:rsid w:val="00F859FF"/>
    <w:rsid w:val="00F8776C"/>
    <w:rsid w:val="00F91E71"/>
    <w:rsid w:val="00FA1EE8"/>
    <w:rsid w:val="00FA2DA5"/>
    <w:rsid w:val="00FA3F21"/>
    <w:rsid w:val="00FA56B0"/>
    <w:rsid w:val="00FB6343"/>
    <w:rsid w:val="00FD132D"/>
    <w:rsid w:val="00FD4E19"/>
    <w:rsid w:val="00FE26AE"/>
    <w:rsid w:val="00FE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FA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F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10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Bolkvadze, Tamar (CDC/CGH/DGHP)</dc:creator>
  <cp:lastModifiedBy>Bolkvadze, Tamar (CDC/CGH/DGHP)</cp:lastModifiedBy>
  <cp:revision>2</cp:revision>
  <dcterms:created xsi:type="dcterms:W3CDTF">2017-11-07T12:26:00Z</dcterms:created>
  <dcterms:modified xsi:type="dcterms:W3CDTF">2017-11-07T12:47:00Z</dcterms:modified>
</cp:coreProperties>
</file>